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of the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Keenova Therapeutics plc</w:t>
      </w:r>
    </w:p>
    <w:p>
      <w:pPr>
        <w:spacing w:after="0" w:line="4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tbl>
      <w:tblPr>
        <w:tblLayout w:type="fixed"/>
        <w:tblInd w:w="840" w:type="dxa"/>
        <w:tblCellMar>
          <w:top w:w="0" w:type="dxa"/>
          <w:left w:w="0" w:type="dxa"/>
          <w:bottom w:w="0" w:type="dxa"/>
          <w:right w:w="0" w:type="dxa"/>
        </w:tblCellMar>
      </w:tblPr>
      <w:tr>
        <w:trPr>
          <w:trHeight w:val="216"/>
        </w:trPr>
        <w:tc>
          <w:tcPr>
            <w:tcW w:w="3160" w:type="dxa"/>
            <w:vAlign w:val="bottom"/>
          </w:tcPr>
          <w:p>
            <w:pPr>
              <w:jc w:val="center"/>
              <w:ind w:right="1030"/>
              <w:spacing w:after="0"/>
              <w:rPr>
                <w:sz w:val="20"/>
                <w:szCs w:val="20"/>
                <w:color w:val="auto"/>
              </w:rPr>
            </w:pPr>
            <w:r>
              <w:rPr>
                <w:rFonts w:ascii="Times New Roman" w:cs="Times New Roman" w:eastAsia="Times New Roman" w:hAnsi="Times New Roman"/>
                <w:sz w:val="18"/>
                <w:szCs w:val="18"/>
                <w:b w:val="1"/>
                <w:bCs w:val="1"/>
                <w:color w:val="auto"/>
                <w:w w:val="98"/>
              </w:rPr>
              <w:t>Ireland</w:t>
            </w:r>
          </w:p>
        </w:tc>
        <w:tc>
          <w:tcPr>
            <w:tcW w:w="34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001-35803</w:t>
            </w:r>
          </w:p>
        </w:tc>
        <w:tc>
          <w:tcPr>
            <w:tcW w:w="2680" w:type="dxa"/>
            <w:vAlign w:val="bottom"/>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w w:val="98"/>
              </w:rPr>
              <w:t>98-1088325</w:t>
            </w:r>
          </w:p>
        </w:tc>
      </w:tr>
      <w:tr>
        <w:trPr>
          <w:trHeight w:val="216"/>
        </w:trPr>
        <w:tc>
          <w:tcPr>
            <w:tcW w:w="3160" w:type="dxa"/>
            <w:vAlign w:val="bottom"/>
          </w:tcPr>
          <w:p>
            <w:pPr>
              <w:jc w:val="center"/>
              <w:ind w:right="10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34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268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rPr>
              <w:t>(IRS Employer</w:t>
            </w:r>
          </w:p>
        </w:tc>
      </w:tr>
      <w:tr>
        <w:trPr>
          <w:trHeight w:val="238"/>
        </w:trPr>
        <w:tc>
          <w:tcPr>
            <w:tcW w:w="3160" w:type="dxa"/>
            <w:vAlign w:val="bottom"/>
          </w:tcPr>
          <w:p>
            <w:pPr>
              <w:jc w:val="center"/>
              <w:ind w:right="103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34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2680" w:type="dxa"/>
            <w:vAlign w:val="bottom"/>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bl>
    <w:p>
      <w:pPr>
        <w:spacing w:after="0" w:line="200" w:lineRule="exact"/>
        <w:rPr>
          <w:sz w:val="24"/>
          <w:szCs w:val="24"/>
          <w:color w:val="auto"/>
        </w:rPr>
      </w:pPr>
    </w:p>
    <w:p>
      <w:pPr>
        <w:spacing w:after="0" w:line="21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College Business &amp; Technology Park, Cruiserath, Blanchardstown, Dublin 15, Ireland</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+353 1 6960000</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0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 None</w:t>
      </w:r>
    </w:p>
    <w:p>
      <w:pPr>
        <w:spacing w:after="0" w:line="2"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718" w:right="499" w:bottom="1440" w:gutter="0" w:footer="0" w:header="0"/>
        </w:sectPr>
      </w:pPr>
    </w:p>
    <w:bookmarkStart w:id="1" w:name="page2"/>
    <w:bookmarkEnd w:id="1"/>
    <w:p>
      <w:pPr>
        <w:spacing w:after="0"/>
        <w:tabs>
          <w:tab w:leader="none" w:pos="1780" w:val="left"/>
        </w:tabs>
        <w:rPr>
          <w:sz w:val="20"/>
          <w:szCs w:val="20"/>
          <w:color w:val="auto"/>
        </w:rPr>
      </w:pPr>
      <w:r>
        <w:rPr>
          <w:rFonts w:ascii="Times New Roman" w:cs="Times New Roman" w:eastAsia="Times New Roman" w:hAnsi="Times New Roman"/>
          <w:sz w:val="18"/>
          <w:szCs w:val="18"/>
          <w:b w:val="1"/>
          <w:bCs w:val="1"/>
          <w:color w:val="212529"/>
        </w:rPr>
        <w:t>Item 5.07.</w:t>
      </w:r>
      <w:r>
        <w:rPr>
          <w:sz w:val="20"/>
          <w:szCs w:val="20"/>
          <w:color w:val="auto"/>
        </w:rPr>
        <w:tab/>
      </w:r>
      <w:r>
        <w:rPr>
          <w:rFonts w:ascii="Times New Roman" w:cs="Times New Roman" w:eastAsia="Times New Roman" w:hAnsi="Times New Roman"/>
          <w:sz w:val="17"/>
          <w:szCs w:val="17"/>
          <w:b w:val="1"/>
          <w:bCs w:val="1"/>
          <w:color w:val="212529"/>
        </w:rPr>
        <w:t>Submission of Matters to a Vote of Security Holders.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12529"/>
        </w:rPr>
        <w:t>Each of the items listed below was submitted to a vote of shareholders at the 2026 Annual General Meeting of Shareholders (the “2026 AGM”) on June 2, 2026 and is described in more detail in Keenova Therapeutics plc’s (the “Company”) definitive proxy statement for the 2026 AGM, filed by the Company with the U.S. Securities and Exchange Commission on April 27, 2026. The final results for each of the matters submitted to a vote of shareholders are as follows: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212529"/>
        </w:rPr>
        <w:t xml:space="preserve">Proposal 1: </w:t>
      </w:r>
      <w:r>
        <w:rPr>
          <w:rFonts w:ascii="Times New Roman" w:cs="Times New Roman" w:eastAsia="Times New Roman" w:hAnsi="Times New Roman"/>
          <w:sz w:val="18"/>
          <w:szCs w:val="18"/>
          <w:color w:val="212529"/>
        </w:rPr>
        <w:t>By separate resolutions, to elect as directors and to hold office, expiring at the end of the Company’s Annual General Meeting of Shareholders</w:t>
      </w:r>
      <w:r>
        <w:rPr>
          <w:rFonts w:ascii="Times New Roman" w:cs="Times New Roman" w:eastAsia="Times New Roman" w:hAnsi="Times New Roman"/>
          <w:sz w:val="18"/>
          <w:szCs w:val="18"/>
          <w:b w:val="1"/>
          <w:bCs w:val="1"/>
          <w:color w:val="212529"/>
        </w:rPr>
        <w:t xml:space="preserve"> </w:t>
      </w:r>
      <w:r>
        <w:rPr>
          <w:rFonts w:ascii="Times New Roman" w:cs="Times New Roman" w:eastAsia="Times New Roman" w:hAnsi="Times New Roman"/>
          <w:sz w:val="18"/>
          <w:szCs w:val="18"/>
          <w:color w:val="212529"/>
        </w:rPr>
        <w:t>in 2027 (the “2027 AGM”), the following individuals: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212529"/>
                <w:w w:val="99"/>
              </w:rPr>
              <w:t>BROKER</w:t>
            </w:r>
          </w:p>
        </w:tc>
      </w:tr>
      <w:tr>
        <w:trPr>
          <w:trHeight w:val="238"/>
        </w:trPr>
        <w:tc>
          <w:tcPr>
            <w:tcW w:w="3740" w:type="dxa"/>
            <w:vAlign w:val="bottom"/>
          </w:tcPr>
          <w:p>
            <w:pPr>
              <w:spacing w:after="0"/>
              <w:rPr>
                <w:sz w:val="20"/>
                <w:szCs w:val="20"/>
                <w:color w:val="auto"/>
              </w:rPr>
            </w:pPr>
          </w:p>
        </w:tc>
        <w:tc>
          <w:tcPr>
            <w:tcW w:w="1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212529"/>
                <w:w w:val="99"/>
              </w:rPr>
              <w:t>FOR</w:t>
            </w:r>
          </w:p>
        </w:tc>
        <w:tc>
          <w:tcPr>
            <w:tcW w:w="190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212529"/>
              </w:rPr>
              <w:t>AGAINST</w:t>
            </w:r>
          </w:p>
        </w:tc>
        <w:tc>
          <w:tcPr>
            <w:tcW w:w="1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212529"/>
                <w:w w:val="97"/>
              </w:rPr>
              <w:t>ABSTAIN</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212529"/>
                <w:w w:val="99"/>
              </w:rPr>
              <w:t>NON-VOTES</w:t>
            </w:r>
          </w:p>
        </w:tc>
      </w:tr>
      <w:tr>
        <w:trPr>
          <w:trHeight w:val="209"/>
        </w:trPr>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212529"/>
              </w:rPr>
              <w:t>Paul M. Bisaro</w:t>
            </w: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12529"/>
                <w:w w:val="98"/>
              </w:rPr>
              <w:t>25,282,713</w:t>
            </w:r>
          </w:p>
        </w:tc>
        <w:tc>
          <w:tcPr>
            <w:tcW w:w="24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12529"/>
              </w:rPr>
              <w:t>8,884</w:t>
            </w:r>
          </w:p>
        </w:tc>
        <w:tc>
          <w:tcPr>
            <w:tcW w:w="2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12529"/>
                <w:w w:val="99"/>
              </w:rPr>
              <w:t>191,295</w:t>
            </w: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12529"/>
                <w:w w:val="99"/>
              </w:rPr>
              <w:t>310,829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212529"/>
              </w:rPr>
              <w:t>Leslie Donato</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212529"/>
                <w:w w:val="98"/>
              </w:rPr>
              <w:t>25,291,597</w:t>
            </w:r>
          </w:p>
        </w:tc>
        <w:tc>
          <w:tcPr>
            <w:tcW w:w="2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212529"/>
              </w:rPr>
              <w:t>0</w:t>
            </w:r>
          </w:p>
        </w:tc>
        <w:tc>
          <w:tcPr>
            <w:tcW w:w="2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212529"/>
                <w:w w:val="99"/>
              </w:rPr>
              <w:t>191,295</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212529"/>
                <w:w w:val="99"/>
              </w:rPr>
              <w:t>310,829</w:t>
            </w: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12529"/>
              </w:rPr>
              <w:t>Katina Dorton</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12529"/>
                <w:w w:val="98"/>
              </w:rPr>
              <w:t>25,291,597</w:t>
            </w: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12529"/>
              </w:rPr>
              <w:t>0</w:t>
            </w: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12529"/>
                <w:w w:val="99"/>
              </w:rPr>
              <w:t>191,295</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12529"/>
                <w:w w:val="99"/>
              </w:rPr>
              <w:t>310,829</w:t>
            </w:r>
          </w:p>
        </w:tc>
        <w:tc>
          <w:tcPr>
            <w:tcW w:w="10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212529"/>
              </w:rPr>
              <w:t>Paul Efron</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212529"/>
                <w:w w:val="98"/>
              </w:rPr>
              <w:t>25,162,447</w:t>
            </w:r>
          </w:p>
        </w:tc>
        <w:tc>
          <w:tcPr>
            <w:tcW w:w="2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212529"/>
              </w:rPr>
              <w:t>84,006</w:t>
            </w:r>
          </w:p>
        </w:tc>
        <w:tc>
          <w:tcPr>
            <w:tcW w:w="2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212529"/>
                <w:w w:val="99"/>
              </w:rPr>
              <w:t>236,439</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212529"/>
                <w:w w:val="99"/>
              </w:rPr>
              <w:t>310,829</w:t>
            </w: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12529"/>
              </w:rPr>
              <w:t>Scott Hirsch</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12529"/>
                <w:w w:val="98"/>
              </w:rPr>
              <w:t>25,176,548</w:t>
            </w: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12529"/>
              </w:rPr>
              <w:t>72,773</w:t>
            </w: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12529"/>
                <w:w w:val="99"/>
              </w:rPr>
              <w:t>233,571</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12529"/>
                <w:w w:val="99"/>
              </w:rPr>
              <w:t>310,829</w:t>
            </w:r>
          </w:p>
        </w:tc>
        <w:tc>
          <w:tcPr>
            <w:tcW w:w="10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212529"/>
              </w:rPr>
              <w:t>Sophia Langlois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212529"/>
                <w:w w:val="98"/>
              </w:rPr>
              <w:t>25,265,940</w:t>
            </w:r>
          </w:p>
        </w:tc>
        <w:tc>
          <w:tcPr>
            <w:tcW w:w="2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212529"/>
              </w:rPr>
              <w:t>25,657</w:t>
            </w:r>
          </w:p>
        </w:tc>
        <w:tc>
          <w:tcPr>
            <w:tcW w:w="2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212529"/>
                <w:w w:val="99"/>
              </w:rPr>
              <w:t>191,295</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212529"/>
                <w:w w:val="99"/>
              </w:rPr>
              <w:t>310,829</w:t>
            </w: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12529"/>
              </w:rPr>
              <w:t>Sigurdur O. Olafsson</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12529"/>
                <w:w w:val="98"/>
              </w:rPr>
              <w:t>25,285,209</w:t>
            </w: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12529"/>
              </w:rPr>
              <w:t>6,388</w:t>
            </w: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12529"/>
                <w:w w:val="99"/>
              </w:rPr>
              <w:t>191,295</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12529"/>
                <w:w w:val="99"/>
              </w:rPr>
              <w:t>310,829</w:t>
            </w:r>
          </w:p>
        </w:tc>
        <w:tc>
          <w:tcPr>
            <w:tcW w:w="10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212529"/>
              </w:rPr>
              <w:t>Marc Yoskowitz</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212529"/>
                <w:w w:val="98"/>
              </w:rPr>
              <w:t>25,272,285</w:t>
            </w:r>
          </w:p>
        </w:tc>
        <w:tc>
          <w:tcPr>
            <w:tcW w:w="2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212529"/>
              </w:rPr>
              <w:t>19,312</w:t>
            </w:r>
          </w:p>
        </w:tc>
        <w:tc>
          <w:tcPr>
            <w:tcW w:w="2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212529"/>
                <w:w w:val="99"/>
              </w:rPr>
              <w:t>191,295</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212529"/>
                <w:w w:val="99"/>
              </w:rPr>
              <w:t>310,829</w:t>
            </w: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12529"/>
              </w:rPr>
              <w:t>Jonathan Zinman</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12529"/>
                <w:w w:val="98"/>
              </w:rPr>
              <w:t>25,265,940</w:t>
            </w: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12529"/>
              </w:rPr>
              <w:t>25,657</w:t>
            </w: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12529"/>
                <w:w w:val="99"/>
              </w:rPr>
              <w:t>191,295</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12529"/>
                <w:w w:val="99"/>
              </w:rPr>
              <w:t>310,829</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Each of the foregoing nominees was elected to hold office until the conclusion of the 2027 AGM or until his or her earlier death, resignation or removal.</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212529"/>
        </w:rPr>
        <w:t xml:space="preserve">Proposal 2: </w:t>
      </w:r>
      <w:r>
        <w:rPr>
          <w:rFonts w:ascii="Times New Roman" w:cs="Times New Roman" w:eastAsia="Times New Roman" w:hAnsi="Times New Roman"/>
          <w:sz w:val="18"/>
          <w:szCs w:val="18"/>
          <w:color w:val="212529"/>
        </w:rPr>
        <w:t>Advisory non-binding vote to approve the re-appointment of PricewaterhouseCoopers LLP as the independent auditors of the Company and,</w:t>
      </w:r>
      <w:r>
        <w:rPr>
          <w:rFonts w:ascii="Times New Roman" w:cs="Times New Roman" w:eastAsia="Times New Roman" w:hAnsi="Times New Roman"/>
          <w:sz w:val="18"/>
          <w:szCs w:val="18"/>
          <w:b w:val="1"/>
          <w:bCs w:val="1"/>
          <w:color w:val="212529"/>
        </w:rPr>
        <w:t xml:space="preserve"> </w:t>
      </w:r>
      <w:r>
        <w:rPr>
          <w:rFonts w:ascii="Times New Roman" w:cs="Times New Roman" w:eastAsia="Times New Roman" w:hAnsi="Times New Roman"/>
          <w:sz w:val="18"/>
          <w:szCs w:val="18"/>
          <w:color w:val="212529"/>
        </w:rPr>
        <w:t>by binding vote, to authorize the Audit Committee of the Board of Directors to set the independent auditors’ remuneration.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212529"/>
                <w:w w:val="99"/>
              </w:rPr>
              <w:t>BROKER</w:t>
            </w:r>
          </w:p>
        </w:tc>
      </w:tr>
      <w:tr>
        <w:trPr>
          <w:trHeight w:val="238"/>
        </w:trPr>
        <w:tc>
          <w:tcPr>
            <w:tcW w:w="2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212529"/>
                <w:w w:val="99"/>
              </w:rPr>
              <w:t>FOR</w:t>
            </w:r>
          </w:p>
        </w:tc>
        <w:tc>
          <w:tcPr>
            <w:tcW w:w="282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212529"/>
              </w:rPr>
              <w:t>AGAINST</w:t>
            </w:r>
          </w:p>
        </w:tc>
        <w:tc>
          <w:tcPr>
            <w:tcW w:w="2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212529"/>
                <w:w w:val="99"/>
              </w:rPr>
              <w:t>ABSTAIN</w:t>
            </w: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212529"/>
                <w:w w:val="99"/>
              </w:rPr>
              <w:t>NON-VOTES</w:t>
            </w:r>
          </w:p>
        </w:tc>
      </w:tr>
      <w:tr>
        <w:trPr>
          <w:trHeight w:val="210"/>
        </w:trPr>
        <w:tc>
          <w:tcPr>
            <w:tcW w:w="2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12529"/>
                <w:w w:val="98"/>
              </w:rPr>
              <w:t>25,602,426</w:t>
            </w:r>
          </w:p>
        </w:tc>
        <w:tc>
          <w:tcPr>
            <w:tcW w:w="24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auto"/>
            </w:tcBorders>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212529"/>
              </w:rPr>
              <w:t>0</w:t>
            </w:r>
          </w:p>
        </w:tc>
        <w:tc>
          <w:tcPr>
            <w:tcW w:w="220" w:type="dxa"/>
            <w:vAlign w:val="bottom"/>
            <w:tcBorders>
              <w:top w:val="single" w:sz="8" w:color="CCEEFF"/>
            </w:tcBorders>
            <w:shd w:val="clear" w:color="auto" w:fill="CCEEFF"/>
          </w:tcPr>
          <w:p>
            <w:pPr>
              <w:spacing w:after="0"/>
              <w:rPr>
                <w:sz w:val="18"/>
                <w:szCs w:val="18"/>
                <w:color w:val="auto"/>
              </w:rPr>
            </w:pPr>
          </w:p>
        </w:tc>
        <w:tc>
          <w:tcPr>
            <w:tcW w:w="2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12529"/>
              </w:rPr>
              <w:t>191,295</w:t>
            </w:r>
          </w:p>
        </w:tc>
        <w:tc>
          <w:tcPr>
            <w:tcW w:w="22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212529"/>
              </w:rPr>
              <w:t>0</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84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212529"/>
              </w:rPr>
              <w:t xml:space="preserve">Proposal 3: </w:t>
            </w:r>
            <w:r>
              <w:rPr>
                <w:rFonts w:ascii="Times New Roman" w:cs="Times New Roman" w:eastAsia="Times New Roman" w:hAnsi="Times New Roman"/>
                <w:sz w:val="18"/>
                <w:szCs w:val="18"/>
                <w:color w:val="212529"/>
              </w:rPr>
              <w:t>Advisory non-binding vote to approve the Company’s executive compensation.</w:t>
            </w:r>
          </w:p>
        </w:tc>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2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212529"/>
                <w:w w:val="99"/>
              </w:rPr>
              <w:t>BROKER</w:t>
            </w:r>
          </w:p>
        </w:tc>
      </w:tr>
      <w:tr>
        <w:trPr>
          <w:trHeight w:val="238"/>
        </w:trPr>
        <w:tc>
          <w:tcPr>
            <w:tcW w:w="2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212529"/>
                <w:w w:val="99"/>
              </w:rPr>
              <w:t>FOR</w:t>
            </w:r>
          </w:p>
        </w:tc>
        <w:tc>
          <w:tcPr>
            <w:tcW w:w="282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212529"/>
              </w:rPr>
              <w:t>AGAINST</w:t>
            </w:r>
          </w:p>
        </w:tc>
        <w:tc>
          <w:tcPr>
            <w:tcW w:w="2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212529"/>
                <w:w w:val="99"/>
              </w:rPr>
              <w:t>ABSTAIN</w:t>
            </w: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212529"/>
                <w:w w:val="99"/>
              </w:rPr>
              <w:t>NON-VOTES</w:t>
            </w:r>
          </w:p>
        </w:tc>
      </w:tr>
      <w:tr>
        <w:trPr>
          <w:trHeight w:val="209"/>
        </w:trPr>
        <w:tc>
          <w:tcPr>
            <w:tcW w:w="2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12529"/>
                <w:w w:val="98"/>
              </w:rPr>
              <w:t>24,965,301</w:t>
            </w:r>
          </w:p>
        </w:tc>
        <w:tc>
          <w:tcPr>
            <w:tcW w:w="24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212529"/>
              </w:rPr>
              <w:t>326,296</w:t>
            </w:r>
          </w:p>
        </w:tc>
        <w:tc>
          <w:tcPr>
            <w:tcW w:w="220" w:type="dxa"/>
            <w:vAlign w:val="bottom"/>
            <w:tcBorders>
              <w:top w:val="single" w:sz="8" w:color="CCEEFF"/>
            </w:tcBorders>
            <w:shd w:val="clear" w:color="auto" w:fill="CCEEFF"/>
          </w:tcPr>
          <w:p>
            <w:pPr>
              <w:spacing w:after="0"/>
              <w:rPr>
                <w:sz w:val="18"/>
                <w:szCs w:val="18"/>
                <w:color w:val="auto"/>
              </w:rPr>
            </w:pPr>
          </w:p>
        </w:tc>
        <w:tc>
          <w:tcPr>
            <w:tcW w:w="2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12529"/>
              </w:rPr>
              <w:t>191,295</w:t>
            </w:r>
          </w:p>
        </w:tc>
        <w:tc>
          <w:tcPr>
            <w:tcW w:w="22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212529"/>
              </w:rPr>
              <w:t>310,829</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 xml:space="preserve">Proposal 4: </w:t>
      </w:r>
      <w:r>
        <w:rPr>
          <w:rFonts w:ascii="Times New Roman" w:cs="Times New Roman" w:eastAsia="Times New Roman" w:hAnsi="Times New Roman"/>
          <w:sz w:val="18"/>
          <w:szCs w:val="18"/>
          <w:color w:val="212529"/>
        </w:rPr>
        <w:t>Advisory non-binding vote to approve the frequency of future advisory non-binding votes to approve the Company’s executive compensation.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212529"/>
                <w:w w:val="99"/>
              </w:rPr>
              <w:t>BROKER</w:t>
            </w:r>
          </w:p>
        </w:tc>
      </w:tr>
      <w:tr>
        <w:trPr>
          <w:trHeight w:val="238"/>
        </w:trPr>
        <w:tc>
          <w:tcPr>
            <w:tcW w:w="2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212529"/>
                <w:w w:val="99"/>
              </w:rPr>
              <w:t>1 YEAR</w:t>
            </w:r>
          </w:p>
        </w:tc>
        <w:tc>
          <w:tcPr>
            <w:tcW w:w="2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212529"/>
                <w:w w:val="99"/>
              </w:rPr>
              <w:t>2 YEARS</w:t>
            </w:r>
          </w:p>
        </w:tc>
        <w:tc>
          <w:tcPr>
            <w:tcW w:w="2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212529"/>
                <w:w w:val="99"/>
              </w:rPr>
              <w:t>3 YEARS</w:t>
            </w:r>
          </w:p>
        </w:tc>
        <w:tc>
          <w:tcPr>
            <w:tcW w:w="2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212529"/>
                <w:w w:val="97"/>
              </w:rPr>
              <w:t>ABSTAIN</w:t>
            </w: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212529"/>
              </w:rPr>
              <w:t>NON-VOTES</w:t>
            </w:r>
          </w:p>
        </w:tc>
      </w:tr>
      <w:tr>
        <w:trPr>
          <w:trHeight w:val="210"/>
        </w:trPr>
        <w:tc>
          <w:tcPr>
            <w:tcW w:w="192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212529"/>
              </w:rPr>
              <w:t>25,117,919</w:t>
            </w:r>
          </w:p>
        </w:tc>
        <w:tc>
          <w:tcPr>
            <w:tcW w:w="24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212529"/>
              </w:rPr>
              <w:t>172,952</w:t>
            </w:r>
          </w:p>
        </w:tc>
        <w:tc>
          <w:tcPr>
            <w:tcW w:w="24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212529"/>
              </w:rPr>
              <w:t>726</w:t>
            </w:r>
          </w:p>
        </w:tc>
        <w:tc>
          <w:tcPr>
            <w:tcW w:w="22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212529"/>
              </w:rPr>
              <w:t>191,295</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12529"/>
                <w:w w:val="99"/>
              </w:rPr>
              <w:t>310,829</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12529"/>
        </w:rPr>
        <w:t>In light of the results of Proposal 4, and consistent with the Board of Directors’ recommendation, the Company intends to continue to include an advisory non-binding vote to approve the Company’s executive compensation in its proxy materials annually until the next required vote on the frequency of future advisory non-binding votes to approve the Company’s executive compensation.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 xml:space="preserve">Proposal 5: </w:t>
      </w:r>
      <w:r>
        <w:rPr>
          <w:rFonts w:ascii="Times New Roman" w:cs="Times New Roman" w:eastAsia="Times New Roman" w:hAnsi="Times New Roman"/>
          <w:sz w:val="18"/>
          <w:szCs w:val="18"/>
          <w:color w:val="212529"/>
        </w:rPr>
        <w:t>Approve the reduction of Company capital (Special Resolution).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212529"/>
                <w:w w:val="99"/>
              </w:rPr>
              <w:t>BROKER</w:t>
            </w:r>
          </w:p>
        </w:tc>
      </w:tr>
      <w:tr>
        <w:trPr>
          <w:trHeight w:val="238"/>
        </w:trPr>
        <w:tc>
          <w:tcPr>
            <w:tcW w:w="2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212529"/>
                <w:w w:val="99"/>
              </w:rPr>
              <w:t>FOR</w:t>
            </w:r>
          </w:p>
        </w:tc>
        <w:tc>
          <w:tcPr>
            <w:tcW w:w="28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212529"/>
                <w:w w:val="99"/>
              </w:rPr>
              <w:t>AGAINST</w:t>
            </w:r>
          </w:p>
        </w:tc>
        <w:tc>
          <w:tcPr>
            <w:tcW w:w="2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212529"/>
                <w:w w:val="99"/>
              </w:rPr>
              <w:t>ABSTAIN</w:t>
            </w: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212529"/>
                <w:w w:val="99"/>
              </w:rPr>
              <w:t>NON-VOTES</w:t>
            </w:r>
          </w:p>
        </w:tc>
      </w:tr>
      <w:tr>
        <w:trPr>
          <w:trHeight w:val="210"/>
        </w:trPr>
        <w:tc>
          <w:tcPr>
            <w:tcW w:w="2600" w:type="dxa"/>
            <w:vAlign w:val="bottom"/>
            <w:tcBorders>
              <w:top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212529"/>
              </w:rPr>
              <w:t>25,256,218</w:t>
            </w:r>
          </w:p>
        </w:tc>
        <w:tc>
          <w:tcPr>
            <w:tcW w:w="24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212529"/>
              </w:rPr>
              <w:t>35,379</w:t>
            </w:r>
          </w:p>
        </w:tc>
        <w:tc>
          <w:tcPr>
            <w:tcW w:w="220" w:type="dxa"/>
            <w:vAlign w:val="bottom"/>
            <w:tcBorders>
              <w:top w:val="single" w:sz="8" w:color="CCEEFF"/>
            </w:tcBorders>
            <w:shd w:val="clear" w:color="auto" w:fill="CCEEFF"/>
          </w:tcPr>
          <w:p>
            <w:pPr>
              <w:spacing w:after="0"/>
              <w:rPr>
                <w:sz w:val="18"/>
                <w:szCs w:val="18"/>
                <w:color w:val="auto"/>
              </w:rPr>
            </w:pPr>
          </w:p>
        </w:tc>
        <w:tc>
          <w:tcPr>
            <w:tcW w:w="2560" w:type="dxa"/>
            <w:vAlign w:val="bottom"/>
            <w:tcBorders>
              <w:top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212529"/>
              </w:rPr>
              <w:t>191,295</w:t>
            </w:r>
          </w:p>
        </w:tc>
        <w:tc>
          <w:tcPr>
            <w:tcW w:w="22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12529"/>
                <w:w w:val="99"/>
              </w:rPr>
              <w:t>310,829</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 xml:space="preserve">Proposal 6: </w:t>
      </w:r>
      <w:r>
        <w:rPr>
          <w:rFonts w:ascii="Times New Roman" w:cs="Times New Roman" w:eastAsia="Times New Roman" w:hAnsi="Times New Roman"/>
          <w:sz w:val="18"/>
          <w:szCs w:val="18"/>
          <w:color w:val="212529"/>
        </w:rPr>
        <w:t>Approve an amendment to the Company’s articles of association (Special Resolution).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212529"/>
                <w:w w:val="99"/>
              </w:rPr>
              <w:t>BROKER</w:t>
            </w:r>
          </w:p>
        </w:tc>
      </w:tr>
      <w:tr>
        <w:trPr>
          <w:trHeight w:val="238"/>
        </w:trPr>
        <w:tc>
          <w:tcPr>
            <w:tcW w:w="2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212529"/>
                <w:w w:val="99"/>
              </w:rPr>
              <w:t>FOR</w:t>
            </w:r>
          </w:p>
        </w:tc>
        <w:tc>
          <w:tcPr>
            <w:tcW w:w="28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212529"/>
                <w:w w:val="99"/>
              </w:rPr>
              <w:t>AGAINST</w:t>
            </w:r>
          </w:p>
        </w:tc>
        <w:tc>
          <w:tcPr>
            <w:tcW w:w="2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212529"/>
                <w:w w:val="99"/>
              </w:rPr>
              <w:t>ABSTAIN</w:t>
            </w: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212529"/>
                <w:w w:val="99"/>
              </w:rPr>
              <w:t>NON-VOTES</w:t>
            </w:r>
          </w:p>
        </w:tc>
      </w:tr>
      <w:tr>
        <w:trPr>
          <w:trHeight w:val="210"/>
        </w:trPr>
        <w:tc>
          <w:tcPr>
            <w:tcW w:w="2600" w:type="dxa"/>
            <w:vAlign w:val="bottom"/>
            <w:tcBorders>
              <w:top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212529"/>
              </w:rPr>
              <w:t>25,476,547</w:t>
            </w:r>
          </w:p>
        </w:tc>
        <w:tc>
          <w:tcPr>
            <w:tcW w:w="24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212529"/>
              </w:rPr>
              <w:t>6,345</w:t>
            </w:r>
          </w:p>
        </w:tc>
        <w:tc>
          <w:tcPr>
            <w:tcW w:w="220" w:type="dxa"/>
            <w:vAlign w:val="bottom"/>
            <w:tcBorders>
              <w:top w:val="single" w:sz="8" w:color="CCEEFF"/>
            </w:tcBorders>
            <w:shd w:val="clear" w:color="auto" w:fill="CCEEFF"/>
          </w:tcPr>
          <w:p>
            <w:pPr>
              <w:spacing w:after="0"/>
              <w:rPr>
                <w:sz w:val="18"/>
                <w:szCs w:val="18"/>
                <w:color w:val="auto"/>
              </w:rPr>
            </w:pPr>
          </w:p>
        </w:tc>
        <w:tc>
          <w:tcPr>
            <w:tcW w:w="2560" w:type="dxa"/>
            <w:vAlign w:val="bottom"/>
            <w:tcBorders>
              <w:top w:val="single" w:sz="8" w:color="auto"/>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212529"/>
              </w:rPr>
              <w:t>0</w:t>
            </w:r>
          </w:p>
        </w:tc>
        <w:tc>
          <w:tcPr>
            <w:tcW w:w="22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12529"/>
                <w:w w:val="99"/>
              </w:rPr>
              <w:t>310,829</w:t>
            </w:r>
          </w:p>
        </w:tc>
        <w:tc>
          <w:tcPr>
            <w:tcW w:w="100" w:type="dxa"/>
            <w:vAlign w:val="bottom"/>
            <w:tcBorders>
              <w:top w:val="single" w:sz="8" w:color="CCEEFF"/>
            </w:tcBorders>
            <w:shd w:val="clear" w:color="auto" w:fill="CCEEFF"/>
          </w:tcPr>
          <w:p>
            <w:pPr>
              <w:spacing w:after="0"/>
              <w:rPr>
                <w:sz w:val="18"/>
                <w:szCs w:val="18"/>
                <w:color w:val="auto"/>
              </w:rPr>
            </w:pPr>
          </w:p>
        </w:tc>
      </w:tr>
      <w:tr>
        <w:trPr>
          <w:trHeight w:val="675"/>
        </w:trPr>
        <w:tc>
          <w:tcPr>
            <w:tcW w:w="2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KEENOVA THERAPEUTICS PLC</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Mark Tyndall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Mark Tyndall</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i w:val="1"/>
          <w:iCs w:val="1"/>
          <w:color w:val="auto"/>
        </w:rPr>
        <w:t>Executive Vice President, Chief Legal Officer &amp; 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2026-06-03T06:27:09Z</dcterms:created>
  <dcterms:modified xsi:type="dcterms:W3CDTF">2026-06-03T06:27:09Z</dcterms:modified>
</cp:coreProperties>
</file>