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763-9_4seq1.xml.htm"/>
      <w:bookmarkStart w:id="1" w:name="kstm26207639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Donato Leslie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 ROUTE 22 EAST, SUITE 302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BRIDGEWATER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08807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Keenova Therapeutics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4,406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8,390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Upon vesting, each restricted stock unit ("RSU") will be settled in ordinary shares of the Issuer at one share per RSU.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will vest on the earlier of (i) the first anniversary of the grant date and (ii) the date of the Issuer's next annual general meeting of shareholders.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constitutes a notice to the Issuer for purposes of Part V of the Companies Act 2014.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Tyndall,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4795" TargetMode="External"/><Relationship Id="rId5" Type="http://schemas.openxmlformats.org/officeDocument/2006/relationships/hyperlink" Target="http://www.sec.gov/cgi-bin/browse-edgar?action=getcompany&amp;CIK=00015678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3393</Characters>
  <CharactersWithSpaces>3966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